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69C95" w14:textId="7EB8B400" w:rsidR="000B7B52" w:rsidRPr="00385BC5" w:rsidRDefault="000B7B52" w:rsidP="00773060">
      <w:pPr>
        <w:jc w:val="right"/>
        <w:rPr>
          <w:rFonts w:ascii="Calibri" w:hAnsi="Calibri" w:cs="Calibri"/>
        </w:rPr>
      </w:pPr>
      <w:r w:rsidRPr="00385BC5">
        <w:rPr>
          <w:rFonts w:ascii="Calibri" w:hAnsi="Calibri" w:cs="Calibri"/>
        </w:rPr>
        <w:t>1</w:t>
      </w:r>
      <w:r w:rsidR="00773060">
        <w:rPr>
          <w:rFonts w:ascii="Calibri" w:hAnsi="Calibri" w:cs="Calibri"/>
        </w:rPr>
        <w:t>4</w:t>
      </w:r>
      <w:r w:rsidRPr="00385BC5">
        <w:rPr>
          <w:rFonts w:ascii="Calibri" w:hAnsi="Calibri" w:cs="Calibri"/>
        </w:rPr>
        <w:t>.12.2022</w:t>
      </w:r>
    </w:p>
    <w:p w14:paraId="3EFA6570" w14:textId="77777777" w:rsidR="00773060" w:rsidRDefault="00773060" w:rsidP="00FC1103">
      <w:pPr>
        <w:jc w:val="both"/>
        <w:rPr>
          <w:rFonts w:ascii="Calibri" w:hAnsi="Calibri" w:cs="Calibri"/>
        </w:rPr>
      </w:pPr>
    </w:p>
    <w:p w14:paraId="74B9A4D1" w14:textId="0C4144D5" w:rsidR="00643FAB" w:rsidRPr="00773060" w:rsidRDefault="000B7B52" w:rsidP="00FC1103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773060">
        <w:rPr>
          <w:rFonts w:ascii="Calibri" w:hAnsi="Calibri" w:cs="Calibri"/>
          <w:b/>
          <w:bCs/>
          <w:sz w:val="28"/>
          <w:szCs w:val="28"/>
        </w:rPr>
        <w:t>Informacja prasowa</w:t>
      </w:r>
      <w:r w:rsidR="00D56D9F" w:rsidRPr="00773060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773060">
        <w:rPr>
          <w:rFonts w:ascii="Calibri" w:hAnsi="Calibri" w:cs="Calibri"/>
          <w:b/>
          <w:bCs/>
          <w:sz w:val="28"/>
          <w:szCs w:val="28"/>
        </w:rPr>
        <w:t>k</w:t>
      </w:r>
      <w:r w:rsidR="00D56D9F" w:rsidRPr="00773060">
        <w:rPr>
          <w:rFonts w:ascii="Calibri" w:hAnsi="Calibri" w:cs="Calibri"/>
          <w:b/>
          <w:bCs/>
          <w:sz w:val="28"/>
          <w:szCs w:val="28"/>
        </w:rPr>
        <w:t>ampani</w:t>
      </w:r>
      <w:r w:rsidRPr="00773060">
        <w:rPr>
          <w:rFonts w:ascii="Calibri" w:hAnsi="Calibri" w:cs="Calibri"/>
          <w:b/>
          <w:bCs/>
          <w:sz w:val="28"/>
          <w:szCs w:val="28"/>
        </w:rPr>
        <w:t>i</w:t>
      </w:r>
      <w:r w:rsidR="00D56D9F" w:rsidRPr="00773060">
        <w:rPr>
          <w:rFonts w:ascii="Calibri" w:hAnsi="Calibri" w:cs="Calibri"/>
          <w:b/>
          <w:bCs/>
          <w:sz w:val="28"/>
          <w:szCs w:val="28"/>
        </w:rPr>
        <w:t xml:space="preserve"> elektromobilni.pl</w:t>
      </w:r>
    </w:p>
    <w:p w14:paraId="2F4BB68C" w14:textId="06A6DE9F" w:rsidR="00D56D9F" w:rsidRPr="00385BC5" w:rsidRDefault="00D56D9F" w:rsidP="00FC1103">
      <w:pPr>
        <w:jc w:val="both"/>
        <w:rPr>
          <w:rFonts w:ascii="Calibri" w:hAnsi="Calibri" w:cs="Calibri"/>
        </w:rPr>
      </w:pPr>
    </w:p>
    <w:p w14:paraId="642DAF29" w14:textId="77777777" w:rsidR="00BF2AB2" w:rsidRPr="00BF2AB2" w:rsidRDefault="00BF2AB2" w:rsidP="00BF2AB2">
      <w:pPr>
        <w:jc w:val="both"/>
        <w:rPr>
          <w:rFonts w:ascii="Calibri" w:hAnsi="Calibri" w:cs="Calibri"/>
          <w:b/>
          <w:bCs/>
          <w:sz w:val="32"/>
          <w:szCs w:val="32"/>
        </w:rPr>
      </w:pPr>
      <w:r w:rsidRPr="00BF2AB2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Maroš Šefčovič: Bateryjna akademia utrwali konkurencyjność naszych firm</w:t>
      </w:r>
    </w:p>
    <w:p w14:paraId="4AB7315C" w14:textId="70ED67B7" w:rsidR="00D56D9F" w:rsidRPr="00385BC5" w:rsidRDefault="00D56D9F" w:rsidP="00FC1103">
      <w:pPr>
        <w:jc w:val="both"/>
        <w:rPr>
          <w:rFonts w:ascii="Calibri" w:hAnsi="Calibri" w:cs="Calibri"/>
        </w:rPr>
      </w:pPr>
    </w:p>
    <w:p w14:paraId="1B31A404" w14:textId="59C40315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b/>
          <w:bCs/>
          <w:lang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>O potrzebie szkolenia specjalistów sektora bateryjnego w dobie transformacji napędowej, pozycji Polski w światowym łańcuchu dostaw akumulatorów Li-Ion oraz dużych pieniądzach zainwestowanych w rozwój zeroemisyjnej i zrównoważonej mobilności, z Marošem Šefčovičem, słowackim dyplomatą i politykiem, wiceprzewodniczącym Komisji Europejskiej ds. stosunków międzyinstytucjonalnych i prognozowania.</w:t>
      </w:r>
    </w:p>
    <w:p w14:paraId="5A6DFF0C" w14:textId="68C15BD3" w:rsidR="00FB71C4" w:rsidRPr="00385BC5" w:rsidRDefault="00FB71C4" w:rsidP="00FC1103">
      <w:pPr>
        <w:jc w:val="both"/>
        <w:outlineLvl w:val="3"/>
        <w:rPr>
          <w:rFonts w:ascii="Calibri" w:eastAsia="Times New Roman" w:hAnsi="Calibri" w:cs="Calibri"/>
          <w:b/>
          <w:bCs/>
          <w:lang w:val="en-US"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 xml:space="preserve">Panie Przewodniczący, jakie dostrzega Pan narzędzia, którymi Unia Europejska napędza innowacyjność i konkurencyjność Państw Członkowskich. </w:t>
      </w:r>
      <w:r w:rsidRPr="00FB71C4">
        <w:rPr>
          <w:rFonts w:ascii="Calibri" w:eastAsia="Times New Roman" w:hAnsi="Calibri" w:cs="Calibri"/>
          <w:b/>
          <w:bCs/>
          <w:lang w:val="en-US" w:eastAsia="pl-PL"/>
        </w:rPr>
        <w:t>Jaką rolę odgrywają European Battery Alliance i European Battery Academy?</w:t>
      </w:r>
    </w:p>
    <w:p w14:paraId="5CEC968D" w14:textId="77777777" w:rsidR="002B2563" w:rsidRPr="00FB71C4" w:rsidRDefault="002B2563" w:rsidP="00FC1103">
      <w:pPr>
        <w:jc w:val="both"/>
        <w:outlineLvl w:val="3"/>
        <w:rPr>
          <w:rFonts w:ascii="Calibri" w:eastAsia="Times New Roman" w:hAnsi="Calibri" w:cs="Calibri"/>
          <w:lang w:val="en-US" w:eastAsia="pl-PL"/>
        </w:rPr>
      </w:pPr>
    </w:p>
    <w:p w14:paraId="48DE6825" w14:textId="7B588473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Europa przechodzi obecnie przez bardzo gwałtowne zmiany, związane z destabilizacją geopolityczną wywołaną rosyjską inwazją w Ukrainie i spowodowan</w:t>
      </w:r>
      <w:r w:rsidR="002B2563" w:rsidRPr="00385BC5">
        <w:rPr>
          <w:rFonts w:ascii="Calibri" w:eastAsia="Times New Roman" w:hAnsi="Calibri" w:cs="Calibri"/>
          <w:lang w:eastAsia="pl-PL"/>
        </w:rPr>
        <w:t xml:space="preserve"> </w:t>
      </w:r>
      <w:r w:rsidRPr="00FB71C4">
        <w:rPr>
          <w:rFonts w:ascii="Calibri" w:eastAsia="Times New Roman" w:hAnsi="Calibri" w:cs="Calibri"/>
          <w:lang w:eastAsia="pl-PL"/>
        </w:rPr>
        <w:t>ym tym kryzysem energetycznym oraz trwającym wciąż procesem unormowania gospodarczego po pandemii COVID-19. W momencie, kiedy decydenci w innych regionach świata poszukują sposobów na ochronę gospodarki przez tymi trudnościami, niezbędne jest, abyśmy również my zapewnili konkurencyjność europejskiego przemysłu, przedsiębiorców i gospodarki.</w:t>
      </w:r>
    </w:p>
    <w:p w14:paraId="174E25CA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Jeżeli uda nam się połączyć wszystkich interesariuszy i skupić łącznie nasz wysiłek, to możemy poczynić skokowe postępy we wszystkich strategicznych obszarach gospodarczych. </w:t>
      </w:r>
      <w:hyperlink r:id="rId6" w:history="1">
        <w:r w:rsidRPr="00FB71C4">
          <w:rPr>
            <w:rFonts w:ascii="Calibri" w:eastAsia="Times New Roman" w:hAnsi="Calibri" w:cs="Calibri"/>
            <w:color w:val="0000FF"/>
            <w:lang w:eastAsia="pl-PL"/>
          </w:rPr>
          <w:t>Baterie</w:t>
        </w:r>
      </w:hyperlink>
      <w:r w:rsidRPr="00FB71C4">
        <w:rPr>
          <w:rFonts w:ascii="Calibri" w:eastAsia="Times New Roman" w:hAnsi="Calibri" w:cs="Calibri"/>
          <w:lang w:eastAsia="pl-PL"/>
        </w:rPr>
        <w:t> to idealny przykład. Przez ostatnie 5 lat, odkąd wspólnie z Państwami Członkowskimi, interesariuszami oraz przemysłem uruchomiłem European Battery Alliance, Unia Europejska przeobraziła się z praktycznie nieistniejącego rynku bateryjnego w globalne centrum tych technologii. Polska jest jednym z liderów w tym procesie. Mamy już ponad 110 istotnych projektów bateryjnych w Europie, wliczając w to 40 gigafabryk. To wszystko wspiera niezrównana ilość inwestycji o wartości blisko 130 miliardów euro.</w:t>
      </w:r>
    </w:p>
    <w:p w14:paraId="2C0C81C3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Dodatkowo, zdecydowaliśmy się przeznaczyć łącznie 925 milionów euro na badania i innowacje poprzez program Horizon Europe. Unia Europejska zaakceptowała też dwa projekty IPCEI, dostarczając 20 miliardów euro w postaci pomocy publicznej i prywatnych inwestycji, na cele wzmocnienia europejskiego ekosystemu bateryjnego, w tym 60 firm w 12 Państwach Członkowskich z Polską włącznie.</w:t>
      </w:r>
    </w:p>
    <w:p w14:paraId="76DAE556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 xml:space="preserve">Ten sukces napędził utworzenie European Battery Academy, aby stawić czoła wyzwaniu rosnącego popytu na wyszkolonych pracowników w sektorze bateryjnym na kolejne lata. Sam przemysł sygnalizuje potrzebę 800 000 pracowników, którzy będą musieli być przeszkoleni </w:t>
      </w:r>
      <w:r w:rsidRPr="00FB71C4">
        <w:rPr>
          <w:rFonts w:ascii="Calibri" w:eastAsia="Times New Roman" w:hAnsi="Calibri" w:cs="Calibri"/>
          <w:lang w:eastAsia="pl-PL"/>
        </w:rPr>
        <w:lastRenderedPageBreak/>
        <w:t>ponownie lub doszkoleni do 2025 r. Akademia wspiera ten proces poprzez wdrażanie kompleksowej usługi szkoleniowej, z celem nadrzędnym, aby wesprzeć firmy bateryjne i utrwalić ich konkurencyjność i innowacyjność na scenie globalnej.</w:t>
      </w:r>
    </w:p>
    <w:p w14:paraId="469D09BB" w14:textId="6D6B8FF7" w:rsidR="00FB71C4" w:rsidRPr="00385BC5" w:rsidRDefault="00FB71C4" w:rsidP="00FC1103">
      <w:pPr>
        <w:jc w:val="both"/>
        <w:outlineLvl w:val="3"/>
        <w:rPr>
          <w:rFonts w:ascii="Calibri" w:eastAsia="Times New Roman" w:hAnsi="Calibri" w:cs="Calibri"/>
          <w:b/>
          <w:bCs/>
          <w:lang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>European Battery Academy ma szansę odegrać istotną rolę w Europie środkowo-wschodniej, jakie widzi Pan wyzwania w tym kontekście?</w:t>
      </w:r>
    </w:p>
    <w:p w14:paraId="527EDD28" w14:textId="77777777" w:rsidR="00FB71C4" w:rsidRPr="00FB71C4" w:rsidRDefault="00FB71C4" w:rsidP="00FC1103">
      <w:pPr>
        <w:jc w:val="both"/>
        <w:outlineLvl w:val="3"/>
        <w:rPr>
          <w:rFonts w:ascii="Calibri" w:eastAsia="Times New Roman" w:hAnsi="Calibri" w:cs="Calibri"/>
          <w:lang w:eastAsia="pl-PL"/>
        </w:rPr>
      </w:pPr>
    </w:p>
    <w:p w14:paraId="118B1D95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Baterie będą odgrywały kluczową rolę w gospodarce przyszłości i jestem zachwycony, że CEE jest w czołówce tego unijnego procesu, bo państwa tego regionu już są liderami pod względem produkcji baterii. Zarówno Polska, jak i Węgry są wśród 10 największych eksporterów baterii w skali globalnej. W każdym z tych państw mamy już ponad 10 tys. osób zatrudnionych w tym sektorze.</w:t>
      </w:r>
    </w:p>
    <w:p w14:paraId="20FA9E05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Polska, mając liderów takich jak LG Energy Solution Wrocław i Northovolt jest jednym z głównych dostawców baterii litowo-jonowych i magazynów energii w Unii Europejskiej.</w:t>
      </w:r>
    </w:p>
    <w:p w14:paraId="498CE4D5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Muszą istnieć zasoby ludzkie w całym łańcuchu wartości, również w recyklingu, aby ten dobry trend się utrzymał.</w:t>
      </w:r>
    </w:p>
    <w:p w14:paraId="3D339001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Cieszy mnie, że EBA nabiera tempa i wdrażana jest z coraz większym rozmachem. Cztery Państwa Członkowskie podpisały już na przykład porozumienia o wyszkoleniu dużej ilości pracowników. W Hiszpanii i Francji dotyczy to 150 tys. osób, na Węgrzech 40 tys., a w Rumunii 20 tys. Unia Europejska udzieliła wsparcia dla Akademii poprzez grant REACT-EU (Recovery Assistance for Cohesion and the Territories of Europe) w wysokości 10 milionów euro.</w:t>
      </w:r>
    </w:p>
    <w:p w14:paraId="7E283AEB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Sukces Akademii w postaci wyszkolonych i doszkolonych pracowników dla sektora baterii litowo-jonowych nie byłby jednak możliwy, gdyby nie partnerzy działający w Państwach Członkowskich, tacy jak PSPA, które wdraża program EBA w Polsce.</w:t>
      </w:r>
    </w:p>
    <w:p w14:paraId="6869514A" w14:textId="67F72D0F" w:rsidR="00FB71C4" w:rsidRPr="00385BC5" w:rsidRDefault="00FB71C4" w:rsidP="00FC1103">
      <w:pPr>
        <w:jc w:val="both"/>
        <w:outlineLvl w:val="3"/>
        <w:rPr>
          <w:rFonts w:ascii="Calibri" w:eastAsia="Times New Roman" w:hAnsi="Calibri" w:cs="Calibri"/>
          <w:b/>
          <w:bCs/>
          <w:lang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>Jaką w Pana opinii rolę w rozwoju elektromobilności i dekarbonizacji może odegrać łańcuch wartości baterii litowo-jonowych?</w:t>
      </w:r>
    </w:p>
    <w:p w14:paraId="10887703" w14:textId="77777777" w:rsidR="00FB71C4" w:rsidRPr="00FB71C4" w:rsidRDefault="00FB71C4" w:rsidP="00FC1103">
      <w:pPr>
        <w:jc w:val="both"/>
        <w:outlineLvl w:val="3"/>
        <w:rPr>
          <w:rFonts w:ascii="Calibri" w:eastAsia="Times New Roman" w:hAnsi="Calibri" w:cs="Calibri"/>
          <w:lang w:eastAsia="pl-PL"/>
        </w:rPr>
      </w:pPr>
    </w:p>
    <w:p w14:paraId="2B6070E8" w14:textId="1D65A8C0" w:rsidR="00FB71C4" w:rsidRPr="00FB71C4" w:rsidRDefault="00FC1103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>
        <w:t xml:space="preserve">Elektromobilności </w:t>
      </w:r>
      <w:r w:rsidR="00FB71C4" w:rsidRPr="00FB71C4">
        <w:rPr>
          <w:rFonts w:ascii="Calibri" w:eastAsia="Times New Roman" w:hAnsi="Calibri" w:cs="Calibri"/>
          <w:lang w:eastAsia="pl-PL"/>
        </w:rPr>
        <w:t>jest kluczowa dla dekarbonizacji transportu drogowego, co zaś stanowi strategiczny element unijnej ambicji klimatycznej i naszego dążenia do podwójnego celu zielonej i cyfrowej transformacji.</w:t>
      </w:r>
    </w:p>
    <w:p w14:paraId="2DD832C6" w14:textId="12293E68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Europa stoi na czele rewolucji elektromobilności. W 2021 r., zarejestrowan</w:t>
      </w:r>
      <w:r w:rsidR="002B2563" w:rsidRPr="00385BC5">
        <w:rPr>
          <w:rFonts w:ascii="Calibri" w:eastAsia="Times New Roman" w:hAnsi="Calibri" w:cs="Calibri"/>
          <w:lang w:eastAsia="pl-PL"/>
        </w:rPr>
        <w:t>o</w:t>
      </w:r>
      <w:r w:rsidRPr="00FB71C4">
        <w:rPr>
          <w:rFonts w:ascii="Calibri" w:eastAsia="Times New Roman" w:hAnsi="Calibri" w:cs="Calibri"/>
          <w:lang w:eastAsia="pl-PL"/>
        </w:rPr>
        <w:t xml:space="preserve"> ponad 2,2 miliona nowych pojazdów z wtyczką na naszym kontynencie. To potężny wzrost 66% w porównaniu do 2020 r. Łącznie rynek ten wzrósł do 19%, przy udziale 10% dla pojazdów bateryjnych elektrycznych i 9% dla </w:t>
      </w:r>
      <w:r w:rsidR="00FC1103">
        <w:t>PHEV.</w:t>
      </w:r>
    </w:p>
    <w:p w14:paraId="5A209C23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 xml:space="preserve">To oznacza, że mamy dziś w Europie ponad 4 miliony pojazdów elektrycznych i spodziewamy się 50 milionów w 2030 r. Taki poziom przyrostu elektrycznej floty będzie wymagał 1,5 TWh </w:t>
      </w:r>
      <w:r w:rsidRPr="00FB71C4">
        <w:rPr>
          <w:rFonts w:ascii="Calibri" w:eastAsia="Times New Roman" w:hAnsi="Calibri" w:cs="Calibri"/>
          <w:lang w:eastAsia="pl-PL"/>
        </w:rPr>
        <w:lastRenderedPageBreak/>
        <w:t>baterii litowo-jonowych. Na przykładzie tej liczby widać, że bateryjny łańcuch wartości odegra bardzo istotną rolę w ogólnym procesie elektryfikacji i dekarbonizacji transportu drogowego.</w:t>
      </w:r>
    </w:p>
    <w:p w14:paraId="3012CC1F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Sektor baterii jest w dodatku tak zaawansowany technologicznie i nowoczesny, że pozwoli Unii Europejskiej zaznaczyć swoją eksperckość, zwiększyć moce wytwórcze i wesprzeć swoją autonomię gospodarczą.</w:t>
      </w:r>
    </w:p>
    <w:p w14:paraId="5C2DA032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Jest to również sektor tworzący zielone miejsca pracy i wspierający transformację starych regionów górniczych (związanych z węglem). Dzięki innowacyjności tego sektora, zmiany tę będą dynamiczne, sprawiedliwe i społecznie akceptowane.</w:t>
      </w:r>
    </w:p>
    <w:p w14:paraId="5D677D52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Nie zmienia to oczywiście faktu, że musimy inwestować w kolejne generacje technologii bateryjnych tak, aby miały one większą gęstość energii, mniejszy wpływ na środowisko i wymagały mniej metali ziem rzadkich.</w:t>
      </w:r>
    </w:p>
    <w:p w14:paraId="725169B6" w14:textId="7573B6B8" w:rsidR="00FB71C4" w:rsidRPr="00385BC5" w:rsidRDefault="00FB71C4" w:rsidP="00FC1103">
      <w:pPr>
        <w:jc w:val="both"/>
        <w:outlineLvl w:val="3"/>
        <w:rPr>
          <w:rFonts w:ascii="Calibri" w:eastAsia="Times New Roman" w:hAnsi="Calibri" w:cs="Calibri"/>
          <w:b/>
          <w:bCs/>
          <w:lang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>Jak wielkie znaczenie ma rozwój transportu zeroemisyjnego w CEE i w jaki sposób może pomóc Państwom Członkowskim tego regionu w wypełnieniu unijnej strategii dekarbonizacji?</w:t>
      </w:r>
    </w:p>
    <w:p w14:paraId="7335AE45" w14:textId="77777777" w:rsidR="00FB71C4" w:rsidRPr="00FB71C4" w:rsidRDefault="00FB71C4" w:rsidP="00FC1103">
      <w:pPr>
        <w:jc w:val="both"/>
        <w:outlineLvl w:val="3"/>
        <w:rPr>
          <w:rFonts w:ascii="Calibri" w:eastAsia="Times New Roman" w:hAnsi="Calibri" w:cs="Calibri"/>
          <w:lang w:eastAsia="pl-PL"/>
        </w:rPr>
      </w:pPr>
    </w:p>
    <w:p w14:paraId="3851584A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Transport jest obecnie jedynym obszarem unijnej gospodarki, w którym emisyjność jest wciąż wyższa niż w 1990 r. Pojazdy osobowe i lekkie dostawcze są obecnie odpowiednio odpowiedzialne za 12% i 2,5% całkowitej emisji CO2 w Unii Europejskiej. Transport ciężki, w tym również autobusy, odpowiada za około 6%.</w:t>
      </w:r>
    </w:p>
    <w:p w14:paraId="23B4DB63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Chcąc osiągnąć neutralność klimatyczną w 2050 r. musimy więc zredukować całkowitą emisyjność transportu o 90%. W praktyce oznacza to, że wszystkie pojazdy osobowe i lekkie dostawcze będą musiały być w przyszłości zeroemisyjne.</w:t>
      </w:r>
    </w:p>
    <w:p w14:paraId="6C5129E6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To szczególne wyzwanie dla Polskie i innych Państw Członkowskich z regionu środkowo-wschodniej Europy, mają na uwadze ich silny udział w ciężkim transporcie drogowym i przemyśle motoryzacyjnym.</w:t>
      </w:r>
    </w:p>
    <w:p w14:paraId="00C13A98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Dla Unii Europejskiej i naszej polityki klimatycznej jest więc niezmiernie istotne, aby zmiany w tym regonie były trwale realizowane, wyłączając z ruchu pojazdy napędzane silnikami wewnętrznego spalania.  W tym samym czasie, musi być zwiększone tempo przyrostu infrastruktury ładowania pojazdów elektrycznych. W ten sposób wszyscy obywatele Unii Europejskiej będą częścią pozytywnej zmiany na elektromobilność.</w:t>
      </w:r>
    </w:p>
    <w:p w14:paraId="0FF18B33" w14:textId="5E4A6A68" w:rsidR="00FB71C4" w:rsidRPr="00385BC5" w:rsidRDefault="00FB71C4" w:rsidP="00FC1103">
      <w:pPr>
        <w:jc w:val="both"/>
        <w:outlineLvl w:val="3"/>
        <w:rPr>
          <w:rFonts w:ascii="Calibri" w:eastAsia="Times New Roman" w:hAnsi="Calibri" w:cs="Calibri"/>
          <w:b/>
          <w:bCs/>
          <w:lang w:eastAsia="pl-PL"/>
        </w:rPr>
      </w:pPr>
      <w:r w:rsidRPr="00FB71C4">
        <w:rPr>
          <w:rFonts w:ascii="Calibri" w:eastAsia="Times New Roman" w:hAnsi="Calibri" w:cs="Calibri"/>
          <w:b/>
          <w:bCs/>
          <w:lang w:eastAsia="pl-PL"/>
        </w:rPr>
        <w:t>Rozwój zasobów ludzkich i edukacja są też narzędziami budowy świadomości, jak Pan ocenia obecny stan i wagę świadomości, jeśli chodzi o dekarbonizację transportu i rozwój elektromobilności w CEE?</w:t>
      </w:r>
    </w:p>
    <w:p w14:paraId="67E0FA16" w14:textId="77777777" w:rsidR="00FB71C4" w:rsidRPr="00FB71C4" w:rsidRDefault="00FB71C4" w:rsidP="00FC1103">
      <w:pPr>
        <w:jc w:val="both"/>
        <w:outlineLvl w:val="3"/>
        <w:rPr>
          <w:rFonts w:ascii="Calibri" w:eastAsia="Times New Roman" w:hAnsi="Calibri" w:cs="Calibri"/>
          <w:lang w:eastAsia="pl-PL"/>
        </w:rPr>
      </w:pPr>
    </w:p>
    <w:p w14:paraId="4075DCED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lastRenderedPageBreak/>
        <w:t>Sektor elektromobilności będzie siłą napędową postępującej cyfryzacji i zielonych technologii. Będzie to też filar siły przemysłowej i gospodarczej Unii Europejskiej w przyszłości. Korzyści wynikające z tej transformacji dla regionu CEE będą olbrzymie.</w:t>
      </w:r>
    </w:p>
    <w:p w14:paraId="04A93453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Europa środkowo-wschodnia już teraz ma silny sektor motoryzacyjny z dobrze wyszkoloną kadrą, rosnący potencjał przemysłowy i obiecujące pokłady surowców. Okno do tych korzyści powoli się jednak zawęża wraz z przyspieszeniem działań innych gospodarek na świece dążących do elektryfikacji transportu.</w:t>
      </w:r>
    </w:p>
    <w:p w14:paraId="6A490334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Musimy więc cały czas łączyć siły i współpracować, aby rozpędzić te zmiany jeszcze bardziej w Europie. Większa świadomość tych fenomenów w CEE jest więc absolutnie kluczowa, aby to się powiodło.</w:t>
      </w:r>
    </w:p>
    <w:p w14:paraId="0E0CE4CB" w14:textId="77777777" w:rsidR="00FB71C4" w:rsidRPr="00FB71C4" w:rsidRDefault="00FB71C4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  <w:r w:rsidRPr="00FB71C4">
        <w:rPr>
          <w:rFonts w:ascii="Calibri" w:eastAsia="Times New Roman" w:hAnsi="Calibri" w:cs="Calibri"/>
          <w:lang w:eastAsia="pl-PL"/>
        </w:rPr>
        <w:t>Dlatego dostrzegamy i uznajemy za wyjątkowo ważne takie projekty jak rozwijane przez PSPA CEE Green Transport Initative. Mają one bowiem szanse zwiększyć tempo procesu podążania do zeroemisyjności transportu drogowego i zwiększenia wsparcia dla elektromobilności.</w:t>
      </w:r>
    </w:p>
    <w:p w14:paraId="393CB390" w14:textId="77777777" w:rsidR="002B2563" w:rsidRPr="00FB71C4" w:rsidRDefault="002B2563" w:rsidP="00FC1103">
      <w:pPr>
        <w:spacing w:after="100" w:afterAutospacing="1"/>
        <w:jc w:val="both"/>
        <w:rPr>
          <w:rFonts w:ascii="Calibri" w:eastAsia="Times New Roman" w:hAnsi="Calibri" w:cs="Calibri"/>
          <w:lang w:eastAsia="pl-PL"/>
        </w:rPr>
      </w:pPr>
    </w:p>
    <w:p w14:paraId="3D7E2764" w14:textId="2BBA0165" w:rsidR="00473474" w:rsidRPr="00FC1103" w:rsidRDefault="00FB71C4" w:rsidP="00FC1103">
      <w:pPr>
        <w:jc w:val="both"/>
        <w:rPr>
          <w:rFonts w:ascii="Calibri" w:hAnsi="Calibri" w:cs="Calibri"/>
          <w:b/>
          <w:bCs/>
          <w:sz w:val="36"/>
          <w:szCs w:val="36"/>
          <w:lang w:val="en-US" w:eastAsia="pl-PL"/>
        </w:rPr>
      </w:pPr>
      <w:r w:rsidRPr="00FC1103">
        <w:rPr>
          <w:rFonts w:ascii="Calibri" w:hAnsi="Calibri" w:cs="Calibri"/>
          <w:b/>
          <w:bCs/>
          <w:sz w:val="36"/>
          <w:szCs w:val="36"/>
          <w:lang w:val="en-US" w:eastAsia="pl-PL"/>
        </w:rPr>
        <w:t>Zaangażowanie PSPA w regionie CEE</w:t>
      </w:r>
    </w:p>
    <w:p w14:paraId="3636DC35" w14:textId="77777777" w:rsidR="002B2563" w:rsidRPr="00385BC5" w:rsidRDefault="002B2563" w:rsidP="00FC1103">
      <w:pPr>
        <w:jc w:val="both"/>
        <w:rPr>
          <w:rFonts w:ascii="Calibri" w:hAnsi="Calibri" w:cs="Calibri"/>
          <w:lang w:val="en-US" w:eastAsia="pl-PL"/>
        </w:rPr>
      </w:pPr>
    </w:p>
    <w:p w14:paraId="456ED593" w14:textId="413C0273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  <w:r w:rsidRPr="00385BC5">
        <w:rPr>
          <w:rFonts w:ascii="Calibri" w:hAnsi="Calibri" w:cs="Calibri"/>
          <w:lang w:val="en-US" w:eastAsia="pl-PL"/>
        </w:rPr>
        <w:t xml:space="preserve">CEE GTI, czyli Central &amp; Eastern European Green Transport Initiative (pol. </w:t>
      </w:r>
      <w:r w:rsidRPr="00385BC5">
        <w:rPr>
          <w:rFonts w:ascii="Calibri" w:hAnsi="Calibri" w:cs="Calibri"/>
          <w:lang w:eastAsia="pl-PL"/>
        </w:rPr>
        <w:t>Inicjatywa na rzecz zielonego transport środkowo-wschodniej Europy) powstała w czerwcu 2021 r. Projekt uruchomiony został przez PSPA, w partnerstwie z SEVA, czyli słowacką organizacją na rzecz elektromobilności. Podczas wydarzenia premierowego, swoje poparcie dla incicjatywy wyrazili Wiceprzewodniczący Komisji Europejskiej Maroš Šefčovič i ówczesny Minister Klimatu i Środowiska Michał Kurtyka.</w:t>
      </w:r>
    </w:p>
    <w:p w14:paraId="48044DDB" w14:textId="3008B95E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</w:p>
    <w:p w14:paraId="682BA226" w14:textId="77777777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  <w:r w:rsidRPr="00385BC5">
        <w:rPr>
          <w:rFonts w:ascii="Calibri" w:hAnsi="Calibri" w:cs="Calibri"/>
          <w:lang w:eastAsia="pl-PL"/>
        </w:rPr>
        <w:t>Celem działań platformy jest łączenie regionu Europy środkowo-wschodniej w dążeniu do zeroemisyjnego transportu drogowego, opartego na elektromobilności. Jest to cel szczególnie istotny w świetle dwóch prędkości rozwoju elektromobilności w Unii Europejskiej, czyli wysokiego zaawansowania Państw Europy zachodniej i północnej oraz wciąż niezadowalającego stanu dekarbonizacji w regionie CEE.</w:t>
      </w:r>
    </w:p>
    <w:p w14:paraId="6CF8729B" w14:textId="59BC0810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</w:p>
    <w:p w14:paraId="1251863E" w14:textId="6AD30BEA" w:rsidR="00FB71C4" w:rsidRDefault="00FB71C4" w:rsidP="00FC1103">
      <w:pPr>
        <w:jc w:val="both"/>
        <w:rPr>
          <w:rFonts w:ascii="Calibri" w:hAnsi="Calibri" w:cs="Calibri"/>
          <w:lang w:eastAsia="pl-PL"/>
        </w:rPr>
      </w:pPr>
      <w:r w:rsidRPr="00385BC5">
        <w:rPr>
          <w:rFonts w:ascii="Calibri" w:hAnsi="Calibri" w:cs="Calibri"/>
          <w:lang w:eastAsia="pl-PL"/>
        </w:rPr>
        <w:t>Połączenie wysiłków ma dodatkowy atut, ze względu na podobieństwo rynków tej części Europy, a zainicjowanie GTI w Polsce jest naturalne biorąc pod uwagę wielkość gospodarki i populacji tego kraju w kontekście regionu. CEE GTI opiera swoje działania na wspieraniu kluczowych inicjatyw europejskich realizowanych przez organizacje pozarządowe, organizacji wydarzeń oraz kampanii na rzecz elektryfikacji transportu drogowego.</w:t>
      </w:r>
    </w:p>
    <w:p w14:paraId="3D7D0772" w14:textId="321F7FCF" w:rsidR="00FC1103" w:rsidRPr="00385BC5" w:rsidRDefault="00FC1103" w:rsidP="00FC1103">
      <w:pPr>
        <w:jc w:val="both"/>
        <w:rPr>
          <w:rFonts w:ascii="Calibri" w:hAnsi="Calibri" w:cs="Calibri"/>
          <w:lang w:eastAsia="pl-PL"/>
        </w:rPr>
      </w:pPr>
    </w:p>
    <w:p w14:paraId="5C97BB95" w14:textId="582DA9AC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  <w:r w:rsidRPr="00385BC5">
        <w:rPr>
          <w:rFonts w:ascii="Calibri" w:hAnsi="Calibri" w:cs="Calibri"/>
          <w:lang w:eastAsia="pl-PL"/>
        </w:rPr>
        <w:t>Bardzo ważnym kontekstem dla działań CEE GTI jest procedowany przez Instytucje Unii Europejskiej pakiet legislacyjny Fit for 55, a w ramach niego przede wszystkim Rozporządzenia o standardach emisyjnych, </w:t>
      </w:r>
      <w:r w:rsidR="00FC1103">
        <w:t>AFIR,</w:t>
      </w:r>
      <w:r w:rsidRPr="00385BC5">
        <w:rPr>
          <w:rFonts w:ascii="Calibri" w:hAnsi="Calibri" w:cs="Calibri"/>
          <w:lang w:eastAsia="pl-PL"/>
        </w:rPr>
        <w:t xml:space="preserve"> EPBD oraz REDIII. CEE GTI było aktywnym interesariuszem w </w:t>
      </w:r>
      <w:r w:rsidRPr="00385BC5">
        <w:rPr>
          <w:rFonts w:ascii="Calibri" w:hAnsi="Calibri" w:cs="Calibri"/>
          <w:lang w:eastAsia="pl-PL"/>
        </w:rPr>
        <w:lastRenderedPageBreak/>
        <w:t>trakcie konsultacji nowelizacji AFIR organizowanych przez sprawozdawcę tego aktu w Parlamencie Europejskim, Ismaila Ertuga (S&amp;D). Przedstawiciele CEE GTI konsultowali też inne istotne akty przy procesie trilogu, w tym na przykład istotnego dla elektromobilności Europejskiego Rozporządzenia Bateryjnego.</w:t>
      </w:r>
    </w:p>
    <w:p w14:paraId="440432C6" w14:textId="1D8E4181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</w:p>
    <w:p w14:paraId="701CA221" w14:textId="24F34166" w:rsidR="00FB71C4" w:rsidRPr="00385BC5" w:rsidRDefault="00FB71C4" w:rsidP="00FC1103">
      <w:pPr>
        <w:jc w:val="both"/>
        <w:rPr>
          <w:rFonts w:ascii="Calibri" w:hAnsi="Calibri" w:cs="Calibri"/>
          <w:lang w:eastAsia="pl-PL"/>
        </w:rPr>
      </w:pPr>
      <w:r w:rsidRPr="00385BC5">
        <w:rPr>
          <w:rFonts w:ascii="Calibri" w:hAnsi="Calibri" w:cs="Calibri"/>
          <w:lang w:eastAsia="pl-PL"/>
        </w:rPr>
        <w:t>CEE GTI już dwukrotnie łączyło interesariuszy regionu w ramach Szczytu CEE GTI w trakcie Kongresu Nowej Mobilności organizowanego przez PSPA oraz w trakcie konferencji w Pradze, na której wraz z Czeską Platformą na Rzecz Elektromobilności i SEVA podpisano deklarację „Elektromobiności: Szansa dla Europy Środkowo-Wschodniej”. Przedstawiciele CEE GTI są też często zapraszanymi i aktywnymi uczestnikami europejskich konferencji na temat elektromobilności. Platformę wsparły też organizacje takie jak EIT Urban Mobility, czy przedstawiciele branży, w tym </w:t>
      </w:r>
      <w:r w:rsidR="00FC1103">
        <w:t>GreenWay,</w:t>
      </w:r>
      <w:r w:rsidRPr="00385BC5">
        <w:rPr>
          <w:rFonts w:ascii="Calibri" w:hAnsi="Calibri" w:cs="Calibri"/>
          <w:lang w:eastAsia="pl-PL"/>
        </w:rPr>
        <w:t xml:space="preserve"> Etrel, Ampeco, PwC oraz T-Mobile Chorwacja.</w:t>
      </w:r>
    </w:p>
    <w:p w14:paraId="5EB0DAC1" w14:textId="0FCC220C" w:rsidR="00D56D9F" w:rsidRDefault="00D56D9F" w:rsidP="00FC1103">
      <w:pPr>
        <w:jc w:val="both"/>
        <w:rPr>
          <w:rFonts w:ascii="Calibri" w:hAnsi="Calibri" w:cs="Calibri"/>
        </w:rPr>
      </w:pPr>
    </w:p>
    <w:p w14:paraId="11BFAC00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--</w:t>
      </w:r>
    </w:p>
    <w:p w14:paraId="01364968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</w:p>
    <w:p w14:paraId="1AAAC03F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Kontakt</w:t>
      </w:r>
    </w:p>
    <w:p w14:paraId="239E03D6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Kampania elektromobilni.pl</w:t>
      </w:r>
    </w:p>
    <w:p w14:paraId="0005EAA5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Maciej Gis</w:t>
      </w:r>
    </w:p>
    <w:p w14:paraId="7E07791E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Szef Biura kampanii</w:t>
      </w:r>
    </w:p>
    <w:p w14:paraId="7FBE6CCB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hyperlink r:id="rId7" w:tooltip="mailto:biuro@elektromobilni.pl" w:history="1">
        <w:r w:rsidRPr="00997B8F">
          <w:rPr>
            <w:rStyle w:val="Hipercze"/>
            <w:rFonts w:ascii="Corbel" w:hAnsi="Corbel"/>
            <w:color w:val="FF8600"/>
          </w:rPr>
          <w:t>biuro@elektromobilni.pl</w:t>
        </w:r>
      </w:hyperlink>
      <w:r w:rsidRPr="00997B8F">
        <w:rPr>
          <w:rStyle w:val="apple-converted-space"/>
          <w:rFonts w:ascii="Corbel" w:hAnsi="Corbel"/>
          <w:color w:val="000000"/>
        </w:rPr>
        <w:t> </w:t>
      </w:r>
      <w:r w:rsidRPr="00997B8F">
        <w:rPr>
          <w:rFonts w:ascii="Corbel" w:hAnsi="Corbel"/>
          <w:color w:val="000000"/>
        </w:rPr>
        <w:br/>
        <w:t>+48 606 740 357</w:t>
      </w:r>
    </w:p>
    <w:p w14:paraId="4760A5B3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 </w:t>
      </w:r>
    </w:p>
    <w:p w14:paraId="61C1AAE7" w14:textId="77777777" w:rsidR="00E41F8A" w:rsidRPr="00997B8F" w:rsidRDefault="00E41F8A" w:rsidP="00E41F8A">
      <w:pPr>
        <w:jc w:val="both"/>
        <w:rPr>
          <w:rFonts w:ascii="Corbel" w:hAnsi="Corbel"/>
          <w:color w:val="000000"/>
        </w:rPr>
      </w:pPr>
      <w:r w:rsidRPr="00997B8F">
        <w:rPr>
          <w:rFonts w:ascii="Corbel" w:hAnsi="Corbel"/>
          <w:color w:val="000000"/>
        </w:rPr>
        <w:t>Celem Kampanii elektromobilni.pl jest kształtowanie postawy odpowiedzialności za klimat, poprzez wskazywanie pozytywnego wpływu zrównoważonej mobilności na środowisko naturalne. Głównym narzędziem projektu jest edukacyjny serwis elektromobilni.pl – źródło rzetelnej informacji na temat elektromobilności w Polsce. Strona, wykorzystująca nowoczesne i interaktywne formy animacji i prezentacji treści, dostarczy wiedzę i narzędzia, niezbędne do podejmowania świadomych decyzji o zamianie pojazdu na elektryczny. Teraz lub w przyszłości.</w:t>
      </w:r>
    </w:p>
    <w:p w14:paraId="2542E108" w14:textId="77777777" w:rsidR="00E41F8A" w:rsidRPr="00385BC5" w:rsidRDefault="00E41F8A" w:rsidP="00FC1103">
      <w:pPr>
        <w:jc w:val="both"/>
        <w:rPr>
          <w:rFonts w:ascii="Calibri" w:hAnsi="Calibri" w:cs="Calibri"/>
        </w:rPr>
      </w:pPr>
    </w:p>
    <w:sectPr w:rsidR="00E41F8A" w:rsidRPr="00385BC5" w:rsidSect="00644193">
      <w:headerReference w:type="default" r:id="rId8"/>
      <w:footerReference w:type="default" r:id="rId9"/>
      <w:pgSz w:w="11900" w:h="16840"/>
      <w:pgMar w:top="2685" w:right="1417" w:bottom="1417" w:left="1417" w:header="22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5DB03" w14:textId="77777777" w:rsidR="00EE1C70" w:rsidRDefault="00EE1C70" w:rsidP="003E0BB8">
      <w:r>
        <w:separator/>
      </w:r>
    </w:p>
  </w:endnote>
  <w:endnote w:type="continuationSeparator" w:id="0">
    <w:p w14:paraId="04614310" w14:textId="77777777" w:rsidR="00EE1C70" w:rsidRDefault="00EE1C70" w:rsidP="003E0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81866" w14:textId="77777777" w:rsidR="003E0BB8" w:rsidRDefault="003E0BB8">
    <w:pPr>
      <w:pStyle w:val="Stopk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7C42C1" wp14:editId="73040285">
          <wp:simplePos x="0" y="0"/>
          <wp:positionH relativeFrom="margin">
            <wp:posOffset>-369956</wp:posOffset>
          </wp:positionH>
          <wp:positionV relativeFrom="paragraph">
            <wp:posOffset>-119946</wp:posOffset>
          </wp:positionV>
          <wp:extent cx="6449785" cy="487024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49785" cy="4870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12B50" w14:textId="77777777" w:rsidR="00EE1C70" w:rsidRDefault="00EE1C70" w:rsidP="003E0BB8">
      <w:r>
        <w:separator/>
      </w:r>
    </w:p>
  </w:footnote>
  <w:footnote w:type="continuationSeparator" w:id="0">
    <w:p w14:paraId="4A199EB0" w14:textId="77777777" w:rsidR="00EE1C70" w:rsidRDefault="00EE1C70" w:rsidP="003E0B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CCDE9" w14:textId="77777777" w:rsidR="003E0BB8" w:rsidRDefault="003E0BB8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A11776D" wp14:editId="7620BDED">
          <wp:simplePos x="0" y="0"/>
          <wp:positionH relativeFrom="margin">
            <wp:posOffset>373528</wp:posOffset>
          </wp:positionH>
          <wp:positionV relativeFrom="paragraph">
            <wp:posOffset>-1405997</wp:posOffset>
          </wp:positionV>
          <wp:extent cx="6284478" cy="1525359"/>
          <wp:effectExtent l="0" t="0" r="254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331085" cy="15366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BB8"/>
    <w:rsid w:val="00025B36"/>
    <w:rsid w:val="000B7B52"/>
    <w:rsid w:val="001042BC"/>
    <w:rsid w:val="002134B1"/>
    <w:rsid w:val="002B2563"/>
    <w:rsid w:val="00385BC5"/>
    <w:rsid w:val="003C23EB"/>
    <w:rsid w:val="003E0BB8"/>
    <w:rsid w:val="00473474"/>
    <w:rsid w:val="00516A8F"/>
    <w:rsid w:val="005F054B"/>
    <w:rsid w:val="00643FAB"/>
    <w:rsid w:val="00644193"/>
    <w:rsid w:val="00773060"/>
    <w:rsid w:val="007F0A24"/>
    <w:rsid w:val="009113D2"/>
    <w:rsid w:val="00A61088"/>
    <w:rsid w:val="00A80316"/>
    <w:rsid w:val="00AC1902"/>
    <w:rsid w:val="00B558CA"/>
    <w:rsid w:val="00BA15BA"/>
    <w:rsid w:val="00BF2AB2"/>
    <w:rsid w:val="00D277A3"/>
    <w:rsid w:val="00D56D9F"/>
    <w:rsid w:val="00DA14C6"/>
    <w:rsid w:val="00E41F8A"/>
    <w:rsid w:val="00E774B1"/>
    <w:rsid w:val="00EE1C70"/>
    <w:rsid w:val="00FB45DA"/>
    <w:rsid w:val="00FB71C4"/>
    <w:rsid w:val="00FC1103"/>
    <w:rsid w:val="00FE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33D733"/>
  <w15:chartTrackingRefBased/>
  <w15:docId w15:val="{18A1AA39-3083-8240-8FE2-187A7893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FB71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FB71C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pistreci10">
    <w:name w:val="Spis treści 10"/>
    <w:basedOn w:val="Spistreci2"/>
    <w:qFormat/>
    <w:rsid w:val="00A61088"/>
    <w:pPr>
      <w:tabs>
        <w:tab w:val="left" w:pos="567"/>
        <w:tab w:val="left" w:pos="900"/>
        <w:tab w:val="right" w:leader="dot" w:pos="9488"/>
      </w:tabs>
      <w:spacing w:before="120" w:after="0" w:line="288" w:lineRule="auto"/>
      <w:ind w:left="567" w:hanging="567"/>
    </w:pPr>
    <w:rPr>
      <w:rFonts w:ascii="Century Gothic" w:eastAsia="Times New Roman" w:hAnsi="Century Gothic" w:cs="Times New Roman"/>
      <w:bCs/>
      <w:noProof/>
      <w:sz w:val="22"/>
      <w:szCs w:val="22"/>
      <w:lang w:val="en-GB" w:eastAsia="da-DK"/>
    </w:r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61088"/>
    <w:pPr>
      <w:spacing w:after="100"/>
      <w:ind w:left="240"/>
    </w:pPr>
  </w:style>
  <w:style w:type="paragraph" w:styleId="Nagwek">
    <w:name w:val="header"/>
    <w:basedOn w:val="Normalny"/>
    <w:link w:val="NagwekZnak"/>
    <w:uiPriority w:val="99"/>
    <w:unhideWhenUsed/>
    <w:rsid w:val="003E0B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0BB8"/>
  </w:style>
  <w:style w:type="paragraph" w:styleId="Stopka">
    <w:name w:val="footer"/>
    <w:basedOn w:val="Normalny"/>
    <w:link w:val="StopkaZnak"/>
    <w:uiPriority w:val="99"/>
    <w:unhideWhenUsed/>
    <w:rsid w:val="003E0B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0BB8"/>
  </w:style>
  <w:style w:type="character" w:customStyle="1" w:styleId="Nagwek2Znak">
    <w:name w:val="Nagłówek 2 Znak"/>
    <w:basedOn w:val="Domylnaczcionkaakapitu"/>
    <w:link w:val="Nagwek2"/>
    <w:uiPriority w:val="9"/>
    <w:rsid w:val="00FB71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FB71C4"/>
    <w:rPr>
      <w:rFonts w:ascii="Times New Roman" w:eastAsia="Times New Roman" w:hAnsi="Times New Roman" w:cs="Times New Roman"/>
      <w:b/>
      <w:bCs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B71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FB71C4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B71C4"/>
    <w:rPr>
      <w:b/>
      <w:bCs/>
    </w:rPr>
  </w:style>
  <w:style w:type="character" w:customStyle="1" w:styleId="apple-converted-space">
    <w:name w:val="apple-converted-space"/>
    <w:basedOn w:val="Domylnaczcionkaakapitu"/>
    <w:rsid w:val="00E41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4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87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05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95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20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29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43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835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03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38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651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5688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941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5683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991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358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646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767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355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211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23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613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029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43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282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173534">
                                          <w:marLeft w:val="15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410991">
                                          <w:marLeft w:val="150"/>
                                          <w:marRight w:val="15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8777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5065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767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875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4794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311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5134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106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912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9645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10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692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388358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6293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417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7611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064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54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571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1502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1918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49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26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3687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05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296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5015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344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iuro@elektromobilni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lektromobilni.pl/elektromobilnosc-to-perspektywa-dla-polskiej-gospodarki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1677</Words>
  <Characters>10067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Furmanek</dc:creator>
  <cp:keywords/>
  <dc:description/>
  <cp:lastModifiedBy>Maciej Gis</cp:lastModifiedBy>
  <cp:revision>7</cp:revision>
  <dcterms:created xsi:type="dcterms:W3CDTF">2022-12-14T08:28:00Z</dcterms:created>
  <dcterms:modified xsi:type="dcterms:W3CDTF">2023-01-24T08:14:00Z</dcterms:modified>
</cp:coreProperties>
</file>